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General Electric sold its NBC Universal division to Comcast for $6.5 billion.</w:t>
      </w:r>
    </w:p>
    <w:p w:rsidR="000E5805" w:rsidRPr="000E5805" w:rsidRDefault="000E5805" w:rsidP="000E5805">
      <w:pPr>
        <w:rPr>
          <w:rFonts w:ascii="Calibri" w:hAnsi="Calibri" w:cs="Arial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Vision Airlines added more than 40 new cities to its flight destination portfolio.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J.C. Penney closed many of its stores, outlets, call centers, and its catalog business.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Citigroup sold its EMI Group Ltd. Music </w:t>
      </w:r>
      <w:proofErr w:type="gramStart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company</w:t>
      </w:r>
      <w:proofErr w:type="gramEnd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Nestle S.A. acquired CM&amp;D Pharma Ltd., the first move by Nestle to sell foods that target diseases.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Caterpillar recently acquired Bucyrus International, another mining equipment maker.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Limited Brands opened its first Victoria’s Secret in Canada.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Wal-Mart opened 40 new supercenters in Canada.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The top four advertisers (in order) during Super Bowl XLV were Anheuser-Busch (</w:t>
      </w:r>
      <w:proofErr w:type="spellStart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InBev</w:t>
      </w:r>
      <w:proofErr w:type="spellEnd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), PepsiCo, General Motors, and Paramount Pictures, each having at least five 30-second ads.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Grocery-store chain </w:t>
      </w:r>
      <w:proofErr w:type="spellStart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SuperValu</w:t>
      </w:r>
      <w:proofErr w:type="spellEnd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Inc. is closing underperforming stores and laying off employees.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General Motors entered the entertainment business by producing the “Inside the Vault”</w:t>
      </w: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br/>
        <w:t> television series.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Caesars Entertainment opens its first </w:t>
      </w:r>
      <w:proofErr w:type="spellStart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noncasino</w:t>
      </w:r>
      <w:proofErr w:type="spellEnd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hotel in Asia. 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AOL laid off 20 percent of its work force in mid-2011.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Wal-Mart’s 40 new Express stores opened at a cost of $1.2 million </w:t>
      </w:r>
      <w:proofErr w:type="gramStart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each.;</w:t>
      </w:r>
      <w:proofErr w:type="gramEnd"/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each store has a pharmacy, grocery section, 75 parking spaces, and three or four checkouts. 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Dell Inc. spent $1 billion to move away from its PC focus to providing cloud-computing services.</w:t>
      </w: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</w:p>
    <w:p w:rsidR="000E5805" w:rsidRPr="000E5805" w:rsidRDefault="000E5805" w:rsidP="000E5805">
      <w:pPr>
        <w:rPr>
          <w:rFonts w:ascii="Calibri" w:hAnsi="Calibri" w:cs="Times New Roman"/>
          <w:color w:val="000000"/>
          <w:sz w:val="22"/>
          <w:szCs w:val="22"/>
        </w:rPr>
      </w:pPr>
      <w:r w:rsidRPr="000E5805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</w:p>
    <w:p w:rsidR="000E5805" w:rsidRPr="000E5805" w:rsidRDefault="000E5805" w:rsidP="000E5805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0E5805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Siemens sold its </w:t>
      </w:r>
      <w:proofErr w:type="spellStart"/>
      <w:r w:rsidRPr="000E5805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Osram</w:t>
      </w:r>
      <w:proofErr w:type="spellEnd"/>
      <w:r w:rsidRPr="000E5805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lighting unit, which had generated $6.6 billion in 2010.</w:t>
      </w:r>
    </w:p>
    <w:p w:rsidR="00C32DFC" w:rsidRDefault="00C32DFC"/>
    <w:sectPr w:rsidR="00C32DFC" w:rsidSect="006110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A0276"/>
    <w:multiLevelType w:val="multilevel"/>
    <w:tmpl w:val="14BAA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805"/>
    <w:rsid w:val="000E5805"/>
    <w:rsid w:val="0061105A"/>
    <w:rsid w:val="00C2409A"/>
    <w:rsid w:val="00C3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580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E58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580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E5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2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JOHN'S MACBOOK PRO</dc:creator>
  <cp:lastModifiedBy>Weiss, Portia T.</cp:lastModifiedBy>
  <cp:revision>2</cp:revision>
  <dcterms:created xsi:type="dcterms:W3CDTF">2017-11-10T22:41:00Z</dcterms:created>
  <dcterms:modified xsi:type="dcterms:W3CDTF">2017-11-10T22:41:00Z</dcterms:modified>
</cp:coreProperties>
</file>